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F256" w14:textId="3F8310BC" w:rsidR="005737CC" w:rsidRDefault="005737CC" w:rsidP="003F077C">
      <w:pPr>
        <w:pStyle w:val="Heading1"/>
        <w:jc w:val="center"/>
      </w:pPr>
      <w:r>
        <w:t xml:space="preserve">NEW CALL FOR DSAC </w:t>
      </w:r>
      <w:proofErr w:type="gramStart"/>
      <w:r>
        <w:t>CC</w:t>
      </w:r>
      <w:r w:rsidR="006F4DF5">
        <w:t>I</w:t>
      </w:r>
      <w:r>
        <w:t xml:space="preserve">  PROJECT</w:t>
      </w:r>
      <w:proofErr w:type="gramEnd"/>
      <w:r>
        <w:t xml:space="preserve"> FUNDING APPLICATIONS FOR 2026 – 2027 IS NOW OPEN</w:t>
      </w:r>
    </w:p>
    <w:p w14:paraId="57C7543F" w14:textId="77777777" w:rsidR="005737CC" w:rsidRDefault="005737CC"/>
    <w:p w14:paraId="027D5ED7" w14:textId="75B18C94" w:rsidR="005737CC" w:rsidRPr="003F077C" w:rsidRDefault="005737CC" w:rsidP="006F4DF5">
      <w:pPr>
        <w:jc w:val="center"/>
        <w:rPr>
          <w:color w:val="BF4E14" w:themeColor="accent2" w:themeShade="BF"/>
        </w:rPr>
      </w:pPr>
      <w:r w:rsidRPr="003F077C">
        <w:rPr>
          <w:color w:val="BF4E14" w:themeColor="accent2" w:themeShade="BF"/>
        </w:rPr>
        <w:t>CLOSING DATE 1</w:t>
      </w:r>
      <w:r w:rsidR="00551D38">
        <w:rPr>
          <w:color w:val="BF4E14" w:themeColor="accent2" w:themeShade="BF"/>
        </w:rPr>
        <w:t>9</w:t>
      </w:r>
      <w:r w:rsidRPr="003F077C">
        <w:rPr>
          <w:color w:val="BF4E14" w:themeColor="accent2" w:themeShade="BF"/>
        </w:rPr>
        <w:t xml:space="preserve"> JUNE 2026 @ 23H59</w:t>
      </w:r>
      <w:r w:rsidRPr="003F077C">
        <w:rPr>
          <w:color w:val="BF4E14" w:themeColor="accent2" w:themeShade="BF"/>
        </w:rPr>
        <w:tab/>
      </w:r>
      <w:r w:rsidRPr="003F077C">
        <w:rPr>
          <w:color w:val="BF4E14" w:themeColor="accent2" w:themeShade="BF"/>
        </w:rPr>
        <w:tab/>
      </w:r>
      <w:r w:rsidRPr="003F077C">
        <w:rPr>
          <w:color w:val="BF4E14" w:themeColor="accent2" w:themeShade="BF"/>
        </w:rPr>
        <w:tab/>
        <w:t xml:space="preserve">OUTCOMES DATE </w:t>
      </w:r>
      <w:r w:rsidR="00551D38">
        <w:rPr>
          <w:color w:val="BF4E14" w:themeColor="accent2" w:themeShade="BF"/>
        </w:rPr>
        <w:t>20</w:t>
      </w:r>
      <w:r w:rsidRPr="003F077C">
        <w:rPr>
          <w:color w:val="BF4E14" w:themeColor="accent2" w:themeShade="BF"/>
        </w:rPr>
        <w:t xml:space="preserve"> JULY 2026</w:t>
      </w:r>
    </w:p>
    <w:p w14:paraId="2446BD4F" w14:textId="77777777" w:rsidR="005737CC" w:rsidRDefault="005737CC"/>
    <w:p w14:paraId="547AFE3F" w14:textId="115B2920" w:rsidR="005737CC" w:rsidRDefault="005737CC" w:rsidP="00F67975">
      <w:pPr>
        <w:jc w:val="both"/>
      </w:pPr>
      <w:r>
        <w:t xml:space="preserve">DSAC Provincial is pleased to announce the </w:t>
      </w:r>
      <w:r w:rsidR="003F077C">
        <w:t xml:space="preserve">CCI Annual Project Funding Call for applications for </w:t>
      </w:r>
      <w:r w:rsidR="00C85D1B">
        <w:t xml:space="preserve">the 2026 – 2027 Financial Year. We hereby invite individual arts practitioners and registered arts </w:t>
      </w:r>
      <w:r w:rsidR="00F67975">
        <w:t>organizations</w:t>
      </w:r>
      <w:r w:rsidR="00026998">
        <w:t xml:space="preserve"> to </w:t>
      </w:r>
      <w:r w:rsidR="00C85D1B">
        <w:t>apply for the funding.</w:t>
      </w:r>
    </w:p>
    <w:p w14:paraId="7A841D60" w14:textId="77777777" w:rsidR="00C85D1B" w:rsidRDefault="00C85D1B"/>
    <w:p w14:paraId="6162DDD3" w14:textId="5B38D396" w:rsidR="00C85D1B" w:rsidRPr="00F67975" w:rsidRDefault="00C85D1B">
      <w:pPr>
        <w:rPr>
          <w:color w:val="BF4E14" w:themeColor="accent2" w:themeShade="BF"/>
        </w:rPr>
      </w:pPr>
      <w:r w:rsidRPr="00F67975">
        <w:rPr>
          <w:color w:val="BF4E14" w:themeColor="accent2" w:themeShade="BF"/>
        </w:rPr>
        <w:t>Only 10 a</w:t>
      </w:r>
      <w:r w:rsidR="00B97185">
        <w:rPr>
          <w:color w:val="BF4E14" w:themeColor="accent2" w:themeShade="BF"/>
        </w:rPr>
        <w:t xml:space="preserve">pplicants </w:t>
      </w:r>
      <w:r w:rsidR="007A7676">
        <w:rPr>
          <w:color w:val="BF4E14" w:themeColor="accent2" w:themeShade="BF"/>
        </w:rPr>
        <w:t>will be approved across all sectors, be it</w:t>
      </w:r>
      <w:r w:rsidRPr="00F67975">
        <w:rPr>
          <w:color w:val="BF4E14" w:themeColor="accent2" w:themeShade="BF"/>
        </w:rPr>
        <w:t xml:space="preserve"> an individual or an organization/company, be it a natural person or a juristic person.</w:t>
      </w:r>
    </w:p>
    <w:p w14:paraId="42A22445" w14:textId="77777777" w:rsidR="00C85D1B" w:rsidRDefault="00C85D1B" w:rsidP="00F67975">
      <w:pPr>
        <w:pBdr>
          <w:top w:val="single" w:sz="4" w:space="1" w:color="auto"/>
        </w:pBdr>
        <w:jc w:val="both"/>
      </w:pPr>
    </w:p>
    <w:p w14:paraId="458FEA9A" w14:textId="2BDA19D2" w:rsidR="00C85D1B" w:rsidRDefault="00C85D1B" w:rsidP="00F67975">
      <w:pPr>
        <w:pBdr>
          <w:top w:val="single" w:sz="4" w:space="1" w:color="auto"/>
        </w:pBdr>
        <w:jc w:val="both"/>
      </w:pPr>
      <w:r>
        <w:t>The invitation is open to active art practitioners in the disciplines of craft, dance, literature, music, theatre, and musical theatre, visual arts, film, multipurpose</w:t>
      </w:r>
      <w:r w:rsidR="000711B6">
        <w:t xml:space="preserve">, </w:t>
      </w:r>
      <w:r>
        <w:t xml:space="preserve">to submit </w:t>
      </w:r>
      <w:r w:rsidR="000711B6">
        <w:t xml:space="preserve">their applications for project funding. Applications presenting content in </w:t>
      </w:r>
      <w:r w:rsidR="000870BA">
        <w:t xml:space="preserve">Limpopo </w:t>
      </w:r>
      <w:r w:rsidR="000711B6">
        <w:t>ind</w:t>
      </w:r>
      <w:r w:rsidR="000870BA">
        <w:t xml:space="preserve">igenous art forms as well as capacity building initiatives in intellectual property are encouraged to apply. </w:t>
      </w:r>
    </w:p>
    <w:p w14:paraId="6703F442" w14:textId="5B924C2F" w:rsidR="000870BA" w:rsidRDefault="000870BA" w:rsidP="00F67975">
      <w:pPr>
        <w:pBdr>
          <w:top w:val="single" w:sz="4" w:space="1" w:color="auto"/>
        </w:pBdr>
        <w:jc w:val="both"/>
      </w:pPr>
      <w:r>
        <w:t xml:space="preserve">In each of the seven (7) arts disciplines mentioned above, the proposed projects must have the capability to address at least two (2) of the six </w:t>
      </w:r>
      <w:r w:rsidRPr="00F67975">
        <w:rPr>
          <w:color w:val="45B0E1" w:themeColor="accent1" w:themeTint="99"/>
        </w:rPr>
        <w:t>(6) critical focus areas below:</w:t>
      </w:r>
    </w:p>
    <w:tbl>
      <w:tblPr>
        <w:tblStyle w:val="TableGrid"/>
        <w:tblW w:w="0" w:type="auto"/>
        <w:tblLook w:val="04A0" w:firstRow="1" w:lastRow="0" w:firstColumn="1" w:lastColumn="0" w:noHBand="0" w:noVBand="1"/>
      </w:tblPr>
      <w:tblGrid>
        <w:gridCol w:w="4675"/>
        <w:gridCol w:w="4675"/>
      </w:tblGrid>
      <w:tr w:rsidR="00F67975" w:rsidRPr="00F67975" w14:paraId="3EF2338F" w14:textId="77777777" w:rsidTr="000870BA">
        <w:tc>
          <w:tcPr>
            <w:tcW w:w="4675" w:type="dxa"/>
          </w:tcPr>
          <w:p w14:paraId="0D733817" w14:textId="712F246F" w:rsidR="000870BA" w:rsidRPr="00F67975" w:rsidRDefault="000870BA">
            <w:pPr>
              <w:rPr>
                <w:color w:val="0E2841" w:themeColor="text2"/>
              </w:rPr>
            </w:pPr>
            <w:r w:rsidRPr="00F67975">
              <w:rPr>
                <w:color w:val="0E2841" w:themeColor="text2"/>
              </w:rPr>
              <w:t xml:space="preserve">1.Social Cohesion and National Building </w:t>
            </w:r>
          </w:p>
        </w:tc>
        <w:tc>
          <w:tcPr>
            <w:tcW w:w="4675" w:type="dxa"/>
          </w:tcPr>
          <w:p w14:paraId="183B888C" w14:textId="6069498A" w:rsidR="000870BA" w:rsidRPr="00F67975" w:rsidRDefault="000870BA">
            <w:pPr>
              <w:rPr>
                <w:color w:val="0E2841" w:themeColor="text2"/>
              </w:rPr>
            </w:pPr>
            <w:r w:rsidRPr="00F67975">
              <w:rPr>
                <w:color w:val="0E2841" w:themeColor="text2"/>
              </w:rPr>
              <w:t xml:space="preserve">This is the extent to which the project brings communities together as well allows for the inclusion of previously excluded parts of society while at the same time creating national unity. </w:t>
            </w:r>
          </w:p>
        </w:tc>
      </w:tr>
      <w:tr w:rsidR="00F67975" w:rsidRPr="00F67975" w14:paraId="297F0A6F" w14:textId="77777777" w:rsidTr="000870BA">
        <w:tc>
          <w:tcPr>
            <w:tcW w:w="4675" w:type="dxa"/>
          </w:tcPr>
          <w:p w14:paraId="6CB0C079" w14:textId="41BDA2BA" w:rsidR="000870BA" w:rsidRPr="00F67975" w:rsidRDefault="000870BA">
            <w:pPr>
              <w:rPr>
                <w:color w:val="0E2841" w:themeColor="text2"/>
              </w:rPr>
            </w:pPr>
            <w:r w:rsidRPr="00F67975">
              <w:rPr>
                <w:color w:val="0E2841" w:themeColor="text2"/>
              </w:rPr>
              <w:t xml:space="preserve">2.Marginalised and Indigenous Arts </w:t>
            </w:r>
          </w:p>
        </w:tc>
        <w:tc>
          <w:tcPr>
            <w:tcW w:w="4675" w:type="dxa"/>
          </w:tcPr>
          <w:p w14:paraId="53D4E5C1" w14:textId="12DC2B4B" w:rsidR="000870BA" w:rsidRPr="00F67975" w:rsidRDefault="000870BA">
            <w:pPr>
              <w:rPr>
                <w:color w:val="0E2841" w:themeColor="text2"/>
              </w:rPr>
            </w:pPr>
            <w:r w:rsidRPr="00F67975">
              <w:rPr>
                <w:color w:val="0E2841" w:themeColor="text2"/>
              </w:rPr>
              <w:t xml:space="preserve">Projects to be considered must focus on </w:t>
            </w:r>
            <w:r w:rsidR="007B1A50" w:rsidRPr="00F67975">
              <w:rPr>
                <w:color w:val="0E2841" w:themeColor="text2"/>
              </w:rPr>
              <w:t>uplifting</w:t>
            </w:r>
            <w:r w:rsidRPr="00F67975">
              <w:rPr>
                <w:color w:val="0E2841" w:themeColor="text2"/>
              </w:rPr>
              <w:t xml:space="preserve"> rural communities as they have a wealth of indigenous and rare artistic expressions that remain in the </w:t>
            </w:r>
            <w:r w:rsidR="00B8113A" w:rsidRPr="00F67975">
              <w:rPr>
                <w:color w:val="0E2841" w:themeColor="text2"/>
              </w:rPr>
              <w:t>shadow of mainstream arts. Projects that seek to unearth and profile these hidden art forms by exposing the arts and practitioners in marginalized areas to new audiences and markets will be highly considered.</w:t>
            </w:r>
          </w:p>
        </w:tc>
      </w:tr>
      <w:tr w:rsidR="00F67975" w:rsidRPr="00F67975" w14:paraId="2B342316" w14:textId="77777777" w:rsidTr="000870BA">
        <w:tc>
          <w:tcPr>
            <w:tcW w:w="4675" w:type="dxa"/>
          </w:tcPr>
          <w:p w14:paraId="09C01EB1" w14:textId="5DE9717B" w:rsidR="000870BA" w:rsidRPr="00F67975" w:rsidRDefault="00B8113A">
            <w:pPr>
              <w:rPr>
                <w:color w:val="0E2841" w:themeColor="text2"/>
              </w:rPr>
            </w:pPr>
            <w:r w:rsidRPr="00F67975">
              <w:rPr>
                <w:color w:val="0E2841" w:themeColor="text2"/>
              </w:rPr>
              <w:lastRenderedPageBreak/>
              <w:t>3.Addressing Social Ills</w:t>
            </w:r>
          </w:p>
        </w:tc>
        <w:tc>
          <w:tcPr>
            <w:tcW w:w="4675" w:type="dxa"/>
          </w:tcPr>
          <w:p w14:paraId="2A662207" w14:textId="275B9566" w:rsidR="000870BA" w:rsidRPr="00F67975" w:rsidRDefault="00B8113A">
            <w:pPr>
              <w:rPr>
                <w:color w:val="0E2841" w:themeColor="text2"/>
              </w:rPr>
            </w:pPr>
            <w:r w:rsidRPr="00F67975">
              <w:rPr>
                <w:color w:val="0E2841" w:themeColor="text2"/>
              </w:rPr>
              <w:t>Projects that provide a platform for artistic expression to the voiceless as well as help with alleviating social ills such as xenophobia, gender-based violence and other violent crimes, drug abuse and gangsterism will be highly considered.</w:t>
            </w:r>
          </w:p>
        </w:tc>
      </w:tr>
      <w:tr w:rsidR="00F67975" w:rsidRPr="00F67975" w14:paraId="1FB68E3C" w14:textId="77777777" w:rsidTr="000870BA">
        <w:tc>
          <w:tcPr>
            <w:tcW w:w="4675" w:type="dxa"/>
          </w:tcPr>
          <w:p w14:paraId="0A32D3D8" w14:textId="29D1AA32" w:rsidR="000870BA" w:rsidRPr="00F67975" w:rsidRDefault="00B8113A">
            <w:pPr>
              <w:rPr>
                <w:color w:val="0E2841" w:themeColor="text2"/>
              </w:rPr>
            </w:pPr>
            <w:r w:rsidRPr="00F67975">
              <w:rPr>
                <w:color w:val="0E2841" w:themeColor="text2"/>
              </w:rPr>
              <w:t>4.Supporting Vulnerable Groups</w:t>
            </w:r>
          </w:p>
        </w:tc>
        <w:tc>
          <w:tcPr>
            <w:tcW w:w="4675" w:type="dxa"/>
          </w:tcPr>
          <w:p w14:paraId="5AF5B892" w14:textId="14A09C2C" w:rsidR="000870BA" w:rsidRPr="00F67975" w:rsidRDefault="00B8113A">
            <w:pPr>
              <w:rPr>
                <w:color w:val="0E2841" w:themeColor="text2"/>
              </w:rPr>
            </w:pPr>
            <w:r w:rsidRPr="00F67975">
              <w:rPr>
                <w:color w:val="0E2841" w:themeColor="text2"/>
              </w:rPr>
              <w:t xml:space="preserve">Projects that provide employment opportunities for women, people living with </w:t>
            </w:r>
            <w:r w:rsidR="00292548" w:rsidRPr="00F67975">
              <w:rPr>
                <w:color w:val="0E2841" w:themeColor="text2"/>
              </w:rPr>
              <w:t>disabilities and in rural areas will be highly considered.</w:t>
            </w:r>
          </w:p>
        </w:tc>
      </w:tr>
      <w:tr w:rsidR="00292548" w:rsidRPr="00F67975" w14:paraId="7B45E1B3" w14:textId="77777777" w:rsidTr="000870BA">
        <w:tc>
          <w:tcPr>
            <w:tcW w:w="4675" w:type="dxa"/>
          </w:tcPr>
          <w:p w14:paraId="5893EE67" w14:textId="051DC77F" w:rsidR="00292548" w:rsidRPr="00F67975" w:rsidRDefault="00292548">
            <w:pPr>
              <w:rPr>
                <w:color w:val="0E2841" w:themeColor="text2"/>
              </w:rPr>
            </w:pPr>
            <w:r w:rsidRPr="00F67975">
              <w:rPr>
                <w:color w:val="0E2841" w:themeColor="text2"/>
              </w:rPr>
              <w:t xml:space="preserve">5.New Works and Digital Arts </w:t>
            </w:r>
          </w:p>
        </w:tc>
        <w:tc>
          <w:tcPr>
            <w:tcW w:w="4675" w:type="dxa"/>
          </w:tcPr>
          <w:p w14:paraId="3E2DBA03" w14:textId="0139E51D" w:rsidR="00292548" w:rsidRPr="00F67975" w:rsidRDefault="00292548">
            <w:pPr>
              <w:rPr>
                <w:color w:val="0E2841" w:themeColor="text2"/>
              </w:rPr>
            </w:pPr>
            <w:r w:rsidRPr="00F67975">
              <w:rPr>
                <w:color w:val="0E2841" w:themeColor="text2"/>
              </w:rPr>
              <w:t>Projects that are innovative and introduce new arts through digital artistic presentations, as well as other platforms, will be highly considered.</w:t>
            </w:r>
          </w:p>
        </w:tc>
      </w:tr>
      <w:tr w:rsidR="00292548" w:rsidRPr="00F67975" w14:paraId="51735B0B" w14:textId="77777777" w:rsidTr="000870BA">
        <w:tc>
          <w:tcPr>
            <w:tcW w:w="4675" w:type="dxa"/>
          </w:tcPr>
          <w:p w14:paraId="2DEDEA1F" w14:textId="0802F026" w:rsidR="00292548" w:rsidRPr="00F67975" w:rsidRDefault="00292548">
            <w:pPr>
              <w:rPr>
                <w:color w:val="0E2841" w:themeColor="text2"/>
              </w:rPr>
            </w:pPr>
            <w:r w:rsidRPr="00F67975">
              <w:rPr>
                <w:color w:val="0E2841" w:themeColor="text2"/>
              </w:rPr>
              <w:t>6.Capacity Building and Arts Entrepreneurship</w:t>
            </w:r>
          </w:p>
        </w:tc>
        <w:tc>
          <w:tcPr>
            <w:tcW w:w="4675" w:type="dxa"/>
          </w:tcPr>
          <w:p w14:paraId="1B3B6A8D" w14:textId="1544E067" w:rsidR="00292548" w:rsidRPr="00F67975" w:rsidRDefault="00292548">
            <w:pPr>
              <w:rPr>
                <w:color w:val="0E2841" w:themeColor="text2"/>
              </w:rPr>
            </w:pPr>
            <w:r w:rsidRPr="00F67975">
              <w:rPr>
                <w:color w:val="0E2841" w:themeColor="text2"/>
              </w:rPr>
              <w:t xml:space="preserve">The ability of the project contributes to skills development and setting up for a new </w:t>
            </w:r>
            <w:proofErr w:type="gramStart"/>
            <w:r w:rsidRPr="00F67975">
              <w:rPr>
                <w:color w:val="0E2841" w:themeColor="text2"/>
              </w:rPr>
              <w:t>business’s</w:t>
            </w:r>
            <w:proofErr w:type="gramEnd"/>
            <w:r w:rsidRPr="00F67975">
              <w:rPr>
                <w:color w:val="0E2841" w:themeColor="text2"/>
              </w:rPr>
              <w:t xml:space="preserve"> acumen.</w:t>
            </w:r>
          </w:p>
        </w:tc>
      </w:tr>
    </w:tbl>
    <w:p w14:paraId="01B13D62" w14:textId="77777777" w:rsidR="000870BA" w:rsidRDefault="000870BA"/>
    <w:p w14:paraId="2CBB3517" w14:textId="04F97E0F" w:rsidR="000870BA" w:rsidRDefault="00292548" w:rsidP="00F67975">
      <w:pPr>
        <w:jc w:val="both"/>
      </w:pPr>
      <w:r>
        <w:t>This call appeals to arts practitioners to present projects that can continue to educate, entertain, and enlighten audiences. Propose projects must demonstrate impact and value for the communities in which they operate.</w:t>
      </w:r>
    </w:p>
    <w:p w14:paraId="4542F8F3" w14:textId="77777777" w:rsidR="00292548" w:rsidRDefault="00292548"/>
    <w:p w14:paraId="24FB50BF" w14:textId="59103E6A" w:rsidR="00292548" w:rsidRPr="00F67975" w:rsidRDefault="00292548">
      <w:pPr>
        <w:rPr>
          <w:color w:val="BF4E14" w:themeColor="accent2" w:themeShade="BF"/>
        </w:rPr>
      </w:pPr>
      <w:r w:rsidRPr="00F67975">
        <w:rPr>
          <w:color w:val="BF4E14" w:themeColor="accent2" w:themeShade="BF"/>
        </w:rPr>
        <w:t>The maximum amount applied should not be more than R100 000.00.</w:t>
      </w:r>
    </w:p>
    <w:p w14:paraId="77A124B1" w14:textId="4F50EEDB" w:rsidR="00292548" w:rsidRDefault="00292548">
      <w:r>
        <w:t xml:space="preserve">Applications must be submitted on or before </w:t>
      </w:r>
      <w:r w:rsidR="00AC14E3">
        <w:rPr>
          <w:color w:val="BF4E14" w:themeColor="accent2" w:themeShade="BF"/>
        </w:rPr>
        <w:t>Monday</w:t>
      </w:r>
      <w:r w:rsidRPr="00F67975">
        <w:rPr>
          <w:color w:val="BF4E14" w:themeColor="accent2" w:themeShade="BF"/>
        </w:rPr>
        <w:t xml:space="preserve">, </w:t>
      </w:r>
      <w:r w:rsidR="00551D38">
        <w:rPr>
          <w:color w:val="BF4E14" w:themeColor="accent2" w:themeShade="BF"/>
        </w:rPr>
        <w:t>20</w:t>
      </w:r>
      <w:r w:rsidRPr="00F67975">
        <w:rPr>
          <w:color w:val="BF4E14" w:themeColor="accent2" w:themeShade="BF"/>
        </w:rPr>
        <w:t xml:space="preserve"> June 2026 at 2</w:t>
      </w:r>
      <w:r w:rsidR="00F67975">
        <w:rPr>
          <w:color w:val="BF4E14" w:themeColor="accent2" w:themeShade="BF"/>
        </w:rPr>
        <w:t>3</w:t>
      </w:r>
      <w:r w:rsidRPr="00F67975">
        <w:rPr>
          <w:color w:val="BF4E14" w:themeColor="accent2" w:themeShade="BF"/>
        </w:rPr>
        <w:t>h59</w:t>
      </w:r>
      <w:r w:rsidR="00B9144A" w:rsidRPr="00F67975">
        <w:rPr>
          <w:color w:val="BF4E14" w:themeColor="accent2" w:themeShade="BF"/>
        </w:rPr>
        <w:t>.</w:t>
      </w:r>
    </w:p>
    <w:p w14:paraId="636C4E8B" w14:textId="77777777" w:rsidR="00B9144A" w:rsidRDefault="00B9144A"/>
    <w:p w14:paraId="32413572" w14:textId="5CBD5B85" w:rsidR="00B9144A" w:rsidRDefault="00B9144A" w:rsidP="00F67975">
      <w:pPr>
        <w:jc w:val="both"/>
      </w:pPr>
      <w:r>
        <w:t>Applica</w:t>
      </w:r>
      <w:r w:rsidR="00275B5A">
        <w:t>nts</w:t>
      </w:r>
      <w:r>
        <w:t xml:space="preserve"> need to </w:t>
      </w:r>
      <w:r w:rsidR="00BD4D6B">
        <w:t>download</w:t>
      </w:r>
      <w:r>
        <w:t xml:space="preserve"> and complete the application form</w:t>
      </w:r>
      <w:r w:rsidR="00275B5A">
        <w:t xml:space="preserve"> accessibale on the DSAC Official website</w:t>
      </w:r>
      <w:r w:rsidR="005C5270">
        <w:t xml:space="preserve"> </w:t>
      </w:r>
      <w:hyperlink r:id="rId5" w:history="1">
        <w:r w:rsidR="005C5270" w:rsidRPr="00C62031">
          <w:rPr>
            <w:rStyle w:val="Hyperlink"/>
          </w:rPr>
          <w:t>https://www.sac.limpopo.gov.za/</w:t>
        </w:r>
      </w:hyperlink>
      <w:r w:rsidR="005C5270">
        <w:t xml:space="preserve"> and submitted</w:t>
      </w:r>
      <w:r w:rsidR="00275B5A">
        <w:t xml:space="preserve"> </w:t>
      </w:r>
      <w:r>
        <w:t>at Head office (Olympic Towers, 21 Biccard Street)</w:t>
      </w:r>
      <w:r w:rsidR="005C5270">
        <w:t xml:space="preserve"> or district DSAC offices.</w:t>
      </w:r>
    </w:p>
    <w:p w14:paraId="2A476F9E" w14:textId="77777777" w:rsidR="00B9144A" w:rsidRDefault="00B9144A" w:rsidP="00F67975">
      <w:pPr>
        <w:jc w:val="both"/>
      </w:pPr>
    </w:p>
    <w:p w14:paraId="0FDC50CE" w14:textId="44609247" w:rsidR="00B9144A" w:rsidRDefault="00B9144A" w:rsidP="001549CD">
      <w:pPr>
        <w:jc w:val="both"/>
      </w:pPr>
      <w:r>
        <w:t>Please note that late and incomplete applications will not be considered, and no exceptions will be made. Funding guidelines can be downloaded from</w:t>
      </w:r>
      <w:r w:rsidR="00DE49EF">
        <w:t xml:space="preserve">: </w:t>
      </w:r>
      <w:hyperlink r:id="rId6" w:history="1">
        <w:r w:rsidR="001549CD" w:rsidRPr="00C62031">
          <w:rPr>
            <w:rStyle w:val="Hyperlink"/>
          </w:rPr>
          <w:t>https://www.sac.limpopo.gov.za/</w:t>
        </w:r>
      </w:hyperlink>
      <w:r w:rsidR="001549CD">
        <w:t xml:space="preserve"> </w:t>
      </w:r>
    </w:p>
    <w:p w14:paraId="27C92D18" w14:textId="77777777" w:rsidR="008230F1" w:rsidRDefault="00B9144A">
      <w:r>
        <w:t>For more information, contact</w:t>
      </w:r>
      <w:r w:rsidR="008230F1">
        <w:t xml:space="preserve">: </w:t>
      </w:r>
    </w:p>
    <w:p w14:paraId="4D1FD5C1" w14:textId="56501065" w:rsidR="008230F1" w:rsidRDefault="006D0E68">
      <w:r>
        <w:t xml:space="preserve">Mr. Mabasa on </w:t>
      </w:r>
      <w:r w:rsidR="005374E6">
        <w:t xml:space="preserve">015 284 </w:t>
      </w:r>
      <w:r w:rsidR="00823AB7">
        <w:t xml:space="preserve">4070/ </w:t>
      </w:r>
      <w:hyperlink r:id="rId7" w:history="1">
        <w:r w:rsidR="00F700F2" w:rsidRPr="00F172A9">
          <w:rPr>
            <w:rStyle w:val="Hyperlink"/>
          </w:rPr>
          <w:t>mabasah@sac.limpopo.gov.za</w:t>
        </w:r>
      </w:hyperlink>
      <w:r w:rsidR="00F700F2">
        <w:t xml:space="preserve"> </w:t>
      </w:r>
    </w:p>
    <w:p w14:paraId="3E4FF577" w14:textId="5A84C7F9" w:rsidR="00B9144A" w:rsidRDefault="005374E6">
      <w:r>
        <w:t>Ms. Mothema on 015 284</w:t>
      </w:r>
      <w:r w:rsidR="008230F1">
        <w:t xml:space="preserve"> 4071/ </w:t>
      </w:r>
      <w:hyperlink r:id="rId8" w:history="1">
        <w:r w:rsidR="00823AB7" w:rsidRPr="00F172A9">
          <w:rPr>
            <w:rStyle w:val="Hyperlink"/>
          </w:rPr>
          <w:t>mothemam@sac.limpopo.gov.za</w:t>
        </w:r>
      </w:hyperlink>
      <w:r w:rsidR="00823AB7">
        <w:t xml:space="preserve"> </w:t>
      </w:r>
    </w:p>
    <w:p w14:paraId="67AB30BC" w14:textId="77777777" w:rsidR="006F4DF5" w:rsidRDefault="006F4DF5"/>
    <w:p w14:paraId="6DC49A9D" w14:textId="26D50718" w:rsidR="00B9144A" w:rsidRDefault="00B9144A">
      <w:r>
        <w:t>Safeguarding and Protection of Vulnerable Groups:</w:t>
      </w:r>
    </w:p>
    <w:p w14:paraId="5839A4E3" w14:textId="0156A578" w:rsidR="00B9144A" w:rsidRDefault="00B9144A" w:rsidP="00B9144A">
      <w:pPr>
        <w:pStyle w:val="ListParagraph"/>
        <w:numPr>
          <w:ilvl w:val="0"/>
          <w:numId w:val="1"/>
        </w:numPr>
      </w:pPr>
      <w:r>
        <w:t>Projects involving children or young people must include proof safeguarding, such as police clearance certificates and/or parental or guardian consent.</w:t>
      </w:r>
    </w:p>
    <w:p w14:paraId="235540B9" w14:textId="24BF034D" w:rsidR="00B9144A" w:rsidRDefault="00B9144A" w:rsidP="00B9144A">
      <w:pPr>
        <w:pStyle w:val="ListParagraph"/>
        <w:numPr>
          <w:ilvl w:val="0"/>
          <w:numId w:val="1"/>
        </w:numPr>
      </w:pPr>
      <w:r>
        <w:t xml:space="preserve">Projects involving </w:t>
      </w:r>
      <w:r w:rsidR="00F67975">
        <w:t>people</w:t>
      </w:r>
      <w:r>
        <w:t xml:space="preserve"> with disabilities </w:t>
      </w:r>
      <w:r w:rsidR="00F67975">
        <w:t xml:space="preserve">must show that the applicant has the skills, experience, training, or partnership necessary to work appropriately and responsibly in this context. Failure to provide the required information may result in application being disqualified or negatively assessed.  </w:t>
      </w:r>
    </w:p>
    <w:p w14:paraId="2D6BD4ED" w14:textId="77777777" w:rsidR="00F67975" w:rsidRPr="00F67975" w:rsidRDefault="00F67975" w:rsidP="00F67975">
      <w:pPr>
        <w:ind w:left="360"/>
        <w:rPr>
          <w:color w:val="BF4E14" w:themeColor="accent2" w:themeShade="BF"/>
        </w:rPr>
      </w:pPr>
    </w:p>
    <w:p w14:paraId="007A5750" w14:textId="123C292A" w:rsidR="00F67975" w:rsidRDefault="00F67975" w:rsidP="00F67975">
      <w:pPr>
        <w:ind w:left="360"/>
        <w:rPr>
          <w:color w:val="BF4E14" w:themeColor="accent2" w:themeShade="BF"/>
        </w:rPr>
      </w:pPr>
      <w:r w:rsidRPr="00F67975">
        <w:rPr>
          <w:color w:val="BF4E14" w:themeColor="accent2" w:themeShade="BF"/>
        </w:rPr>
        <w:t xml:space="preserve">Disclaimer: </w:t>
      </w:r>
    </w:p>
    <w:p w14:paraId="1777DBA0" w14:textId="2BEEF6CB" w:rsidR="00F67975" w:rsidRDefault="00F67975" w:rsidP="00F67975">
      <w:pPr>
        <w:pBdr>
          <w:top w:val="single" w:sz="4" w:space="1" w:color="auto"/>
          <w:bottom w:val="single" w:sz="4" w:space="1" w:color="auto"/>
        </w:pBdr>
        <w:ind w:left="360"/>
        <w:rPr>
          <w:color w:val="BF4E14" w:themeColor="accent2" w:themeShade="BF"/>
        </w:rPr>
      </w:pPr>
      <w:r>
        <w:rPr>
          <w:color w:val="BF4E14" w:themeColor="accent2" w:themeShade="BF"/>
        </w:rPr>
        <w:t xml:space="preserve">All applicants who </w:t>
      </w:r>
      <w:r w:rsidR="002E6695">
        <w:rPr>
          <w:color w:val="BF4E14" w:themeColor="accent2" w:themeShade="BF"/>
        </w:rPr>
        <w:t xml:space="preserve">do not receive communication </w:t>
      </w:r>
      <w:r w:rsidR="008052AD">
        <w:rPr>
          <w:color w:val="BF4E14" w:themeColor="accent2" w:themeShade="BF"/>
        </w:rPr>
        <w:t xml:space="preserve">30 days </w:t>
      </w:r>
      <w:r w:rsidR="002E6695">
        <w:rPr>
          <w:color w:val="BF4E14" w:themeColor="accent2" w:themeShade="BF"/>
        </w:rPr>
        <w:t>after the deadline should deem their application unsuccessful.</w:t>
      </w:r>
    </w:p>
    <w:p w14:paraId="3A665BE2" w14:textId="46EDEF7B" w:rsidR="0070542F" w:rsidRDefault="0070542F" w:rsidP="0070542F">
      <w:pPr>
        <w:contextualSpacing/>
        <w:jc w:val="both"/>
        <w:rPr>
          <w:rFonts w:ascii="Arial" w:eastAsia="Calibri" w:hAnsi="Arial" w:cs="Arial"/>
          <w:b/>
          <w:bCs/>
        </w:rPr>
      </w:pPr>
    </w:p>
    <w:p w14:paraId="03DFC54C" w14:textId="77777777" w:rsidR="0070542F" w:rsidRDefault="0070542F" w:rsidP="0070542F">
      <w:pPr>
        <w:ind w:left="426"/>
        <w:contextualSpacing/>
        <w:jc w:val="both"/>
        <w:rPr>
          <w:rFonts w:ascii="Arial" w:eastAsia="Calibri" w:hAnsi="Arial" w:cs="Arial"/>
        </w:rPr>
      </w:pPr>
    </w:p>
    <w:p w14:paraId="72AEE3CE" w14:textId="77777777" w:rsidR="0070542F" w:rsidRDefault="0070542F"/>
    <w:sectPr w:rsidR="0070542F" w:rsidSect="004E4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B6540"/>
    <w:multiLevelType w:val="hybridMultilevel"/>
    <w:tmpl w:val="0D54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77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CC"/>
    <w:rsid w:val="00026998"/>
    <w:rsid w:val="00045383"/>
    <w:rsid w:val="000711B6"/>
    <w:rsid w:val="000870BA"/>
    <w:rsid w:val="001549CD"/>
    <w:rsid w:val="00275B5A"/>
    <w:rsid w:val="00292548"/>
    <w:rsid w:val="002E6695"/>
    <w:rsid w:val="003F077C"/>
    <w:rsid w:val="004E11A5"/>
    <w:rsid w:val="004E4038"/>
    <w:rsid w:val="00520E76"/>
    <w:rsid w:val="005374E6"/>
    <w:rsid w:val="00551D38"/>
    <w:rsid w:val="005737CC"/>
    <w:rsid w:val="005B2D86"/>
    <w:rsid w:val="005C5270"/>
    <w:rsid w:val="006024F6"/>
    <w:rsid w:val="006A1441"/>
    <w:rsid w:val="006A4A1E"/>
    <w:rsid w:val="006D0E68"/>
    <w:rsid w:val="006F4DF5"/>
    <w:rsid w:val="0070542F"/>
    <w:rsid w:val="007A7676"/>
    <w:rsid w:val="007B1A50"/>
    <w:rsid w:val="008052AD"/>
    <w:rsid w:val="008230F1"/>
    <w:rsid w:val="00823AB7"/>
    <w:rsid w:val="00854381"/>
    <w:rsid w:val="00924210"/>
    <w:rsid w:val="009A7928"/>
    <w:rsid w:val="00AC14E3"/>
    <w:rsid w:val="00B8113A"/>
    <w:rsid w:val="00B9144A"/>
    <w:rsid w:val="00B97185"/>
    <w:rsid w:val="00BD4D6B"/>
    <w:rsid w:val="00C85D1B"/>
    <w:rsid w:val="00D722E5"/>
    <w:rsid w:val="00DE49EF"/>
    <w:rsid w:val="00DF299A"/>
    <w:rsid w:val="00DF671A"/>
    <w:rsid w:val="00F67975"/>
    <w:rsid w:val="00F700F2"/>
    <w:rsid w:val="00F71E9F"/>
    <w:rsid w:val="00F74264"/>
    <w:rsid w:val="00F76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6563"/>
  <w15:chartTrackingRefBased/>
  <w15:docId w15:val="{DEB8A4B9-7CE5-4120-B593-D299090C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7CC"/>
    <w:rPr>
      <w:rFonts w:eastAsiaTheme="majorEastAsia" w:cstheme="majorBidi"/>
      <w:color w:val="272727" w:themeColor="text1" w:themeTint="D8"/>
    </w:rPr>
  </w:style>
  <w:style w:type="paragraph" w:styleId="Title">
    <w:name w:val="Title"/>
    <w:basedOn w:val="Normal"/>
    <w:next w:val="Normal"/>
    <w:link w:val="TitleChar"/>
    <w:uiPriority w:val="10"/>
    <w:qFormat/>
    <w:rsid w:val="00573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7CC"/>
    <w:pPr>
      <w:spacing w:before="160"/>
      <w:jc w:val="center"/>
    </w:pPr>
    <w:rPr>
      <w:i/>
      <w:iCs/>
      <w:color w:val="404040" w:themeColor="text1" w:themeTint="BF"/>
    </w:rPr>
  </w:style>
  <w:style w:type="character" w:customStyle="1" w:styleId="QuoteChar">
    <w:name w:val="Quote Char"/>
    <w:basedOn w:val="DefaultParagraphFont"/>
    <w:link w:val="Quote"/>
    <w:uiPriority w:val="29"/>
    <w:rsid w:val="005737CC"/>
    <w:rPr>
      <w:i/>
      <w:iCs/>
      <w:color w:val="404040" w:themeColor="text1" w:themeTint="BF"/>
    </w:rPr>
  </w:style>
  <w:style w:type="paragraph" w:styleId="ListParagraph">
    <w:name w:val="List Paragraph"/>
    <w:basedOn w:val="Normal"/>
    <w:uiPriority w:val="34"/>
    <w:qFormat/>
    <w:rsid w:val="005737CC"/>
    <w:pPr>
      <w:ind w:left="720"/>
      <w:contextualSpacing/>
    </w:pPr>
  </w:style>
  <w:style w:type="character" w:styleId="IntenseEmphasis">
    <w:name w:val="Intense Emphasis"/>
    <w:basedOn w:val="DefaultParagraphFont"/>
    <w:uiPriority w:val="21"/>
    <w:qFormat/>
    <w:rsid w:val="005737CC"/>
    <w:rPr>
      <w:i/>
      <w:iCs/>
      <w:color w:val="0F4761" w:themeColor="accent1" w:themeShade="BF"/>
    </w:rPr>
  </w:style>
  <w:style w:type="paragraph" w:styleId="IntenseQuote">
    <w:name w:val="Intense Quote"/>
    <w:basedOn w:val="Normal"/>
    <w:next w:val="Normal"/>
    <w:link w:val="IntenseQuoteChar"/>
    <w:uiPriority w:val="30"/>
    <w:qFormat/>
    <w:rsid w:val="00573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7CC"/>
    <w:rPr>
      <w:i/>
      <w:iCs/>
      <w:color w:val="0F4761" w:themeColor="accent1" w:themeShade="BF"/>
    </w:rPr>
  </w:style>
  <w:style w:type="character" w:styleId="IntenseReference">
    <w:name w:val="Intense Reference"/>
    <w:basedOn w:val="DefaultParagraphFont"/>
    <w:uiPriority w:val="32"/>
    <w:qFormat/>
    <w:rsid w:val="005737CC"/>
    <w:rPr>
      <w:b/>
      <w:bCs/>
      <w:smallCaps/>
      <w:color w:val="0F4761" w:themeColor="accent1" w:themeShade="BF"/>
      <w:spacing w:val="5"/>
    </w:rPr>
  </w:style>
  <w:style w:type="table" w:styleId="TableGrid">
    <w:name w:val="Table Grid"/>
    <w:basedOn w:val="TableNormal"/>
    <w:uiPriority w:val="39"/>
    <w:rsid w:val="0008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0F1"/>
    <w:rPr>
      <w:color w:val="467886" w:themeColor="hyperlink"/>
      <w:u w:val="single"/>
    </w:rPr>
  </w:style>
  <w:style w:type="character" w:styleId="UnresolvedMention">
    <w:name w:val="Unresolved Mention"/>
    <w:basedOn w:val="DefaultParagraphFont"/>
    <w:uiPriority w:val="99"/>
    <w:semiHidden/>
    <w:unhideWhenUsed/>
    <w:rsid w:val="0082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hemam@sac.limpopo.gov.za" TargetMode="External"/><Relationship Id="rId3" Type="http://schemas.openxmlformats.org/officeDocument/2006/relationships/settings" Target="settings.xml"/><Relationship Id="rId7" Type="http://schemas.openxmlformats.org/officeDocument/2006/relationships/hyperlink" Target="mailto:mabasah@sac.limpopo.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c.limpopo.gov.za/" TargetMode="External"/><Relationship Id="rId5" Type="http://schemas.openxmlformats.org/officeDocument/2006/relationships/hyperlink" Target="https://www.sac.limpopo.gov.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1f2d63b-017d-418f-ba17-671f0598a274}" enabled="1" method="Standard" siteId="{d2d8e744-75e4-4e85-ab0e-799ad9ea888b}" contentBits="0" removed="0"/>
</clbl:labelList>
</file>

<file path=docProps/app.xml><?xml version="1.0" encoding="utf-8"?>
<Properties xmlns="http://schemas.openxmlformats.org/officeDocument/2006/extended-properties" xmlns:vt="http://schemas.openxmlformats.org/officeDocument/2006/docPropsVTypes">
  <Template>Normal</Template>
  <TotalTime>305</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Hunadi Legodi</dc:creator>
  <cp:keywords/>
  <dc:description/>
  <cp:lastModifiedBy>Hunadi Legodi</cp:lastModifiedBy>
  <cp:revision>34</cp:revision>
  <cp:lastPrinted>2026-04-17T13:36:00Z</cp:lastPrinted>
  <dcterms:created xsi:type="dcterms:W3CDTF">2026-04-15T09:20:00Z</dcterms:created>
  <dcterms:modified xsi:type="dcterms:W3CDTF">2026-05-21T07:12:00Z</dcterms:modified>
</cp:coreProperties>
</file>